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CR</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D35664" w:rsidRPr="00702F21" w:rsidRDefault="00D35664" w:rsidP="00D35664">
      <w:pPr>
        <w:pStyle w:val="a4"/>
        <w:ind w:firstLine="567"/>
        <w:jc w:val="both"/>
        <w:rPr>
          <w:rFonts w:ascii="Times New Roman" w:hAnsi="Times New Roman" w:cs="Times New Roman"/>
          <w:b/>
          <w:sz w:val="28"/>
          <w:szCs w:val="28"/>
          <w:lang w:val="kk-KZ"/>
        </w:rPr>
      </w:pPr>
      <w:r>
        <w:rPr>
          <w:rFonts w:ascii="Times New Roman" w:eastAsia="Times New Roman" w:hAnsi="Times New Roman" w:cs="Times New Roman"/>
          <w:b/>
          <w:sz w:val="28"/>
          <w:szCs w:val="28"/>
          <w:bdr w:val="none" w:sz="0" w:space="0" w:color="auto" w:frame="1"/>
          <w:lang w:val="kk-KZ"/>
        </w:rPr>
        <w:t>1.</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Кедендік бақылау </w:t>
      </w:r>
      <w:r w:rsidRPr="00702F21">
        <w:rPr>
          <w:rFonts w:ascii="Times New Roman" w:hAnsi="Times New Roman" w:cs="Times New Roman"/>
          <w:b/>
          <w:color w:val="000000"/>
          <w:sz w:val="28"/>
          <w:szCs w:val="28"/>
          <w:lang w:val="kk-KZ"/>
        </w:rPr>
        <w:t xml:space="preserve"> басқармасы Т</w:t>
      </w:r>
      <w:r w:rsidRPr="00702F21">
        <w:rPr>
          <w:rFonts w:ascii="Times New Roman" w:hAnsi="Times New Roman" w:cs="Times New Roman"/>
          <w:b/>
          <w:bCs/>
          <w:sz w:val="28"/>
          <w:szCs w:val="28"/>
          <w:lang w:val="kk-KZ"/>
        </w:rPr>
        <w:t xml:space="preserve">рифтік емес реттеу және зияткерлік меншік </w:t>
      </w:r>
      <w:r w:rsidRPr="00702F21">
        <w:rPr>
          <w:rFonts w:ascii="Times New Roman" w:hAnsi="Times New Roman" w:cs="Times New Roman"/>
          <w:b/>
          <w:sz w:val="28"/>
          <w:szCs w:val="28"/>
          <w:lang w:val="kk-KZ"/>
        </w:rPr>
        <w:t xml:space="preserve">бөлімінің басшысы </w:t>
      </w:r>
      <w:r w:rsidRPr="00702F21">
        <w:rPr>
          <w:rStyle w:val="a3"/>
          <w:rFonts w:ascii="Times New Roman" w:hAnsi="Times New Roman" w:cs="Times New Roman"/>
          <w:color w:val="222222"/>
          <w:sz w:val="28"/>
          <w:szCs w:val="28"/>
          <w:bdr w:val="none" w:sz="0" w:space="0" w:color="auto" w:frame="1"/>
          <w:lang w:val="kk-KZ"/>
        </w:rPr>
        <w:t>«С-О-4» санаты, 1 бірлік.</w:t>
      </w:r>
    </w:p>
    <w:p w:rsidR="00D35664" w:rsidRPr="00702F21" w:rsidRDefault="00D35664" w:rsidP="00D3566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D35664" w:rsidRPr="00702F21" w:rsidRDefault="00D35664" w:rsidP="00D35664">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pacing w:val="-2"/>
          <w:sz w:val="28"/>
          <w:szCs w:val="28"/>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Pr="00702F21">
        <w:rPr>
          <w:rStyle w:val="tlid-translation"/>
          <w:rFonts w:ascii="Times New Roman" w:hAnsi="Times New Roman" w:cs="Times New Roman"/>
          <w:sz w:val="28"/>
          <w:szCs w:val="28"/>
          <w:lang w:val="kk-KZ"/>
        </w:rPr>
        <w:t xml:space="preserve"> </w:t>
      </w:r>
      <w:r w:rsidRPr="001C0BC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p>
    <w:p w:rsidR="00D35664" w:rsidRPr="00702F21" w:rsidRDefault="00D35664" w:rsidP="00D35664">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D35664" w:rsidRPr="001C0BC9" w:rsidRDefault="00D35664" w:rsidP="00D35664">
      <w:pPr>
        <w:pStyle w:val="a4"/>
        <w:ind w:firstLine="708"/>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D35664" w:rsidRPr="001C0BC9" w:rsidRDefault="00D35664" w:rsidP="00D35664">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lastRenderedPageBreak/>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5664" w:rsidRPr="001C0BC9" w:rsidRDefault="00D35664" w:rsidP="00D35664">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1C0BC9">
        <w:rPr>
          <w:rFonts w:ascii="Times New Roman" w:hAnsi="Times New Roman" w:cs="Times New Roman"/>
          <w:sz w:val="28"/>
          <w:szCs w:val="28"/>
          <w:lang w:val="kk-KZ"/>
        </w:rPr>
        <w:t>ұмыс тәжірибесі келесі талаптардың біріне сәйкес болуы тиіс: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1) мемлекеттік лауазымдарда жұмыс өтілі бір жылдан кем емес;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7) ғылыми дәрежесінің болуы;</w:t>
      </w:r>
    </w:p>
    <w:p w:rsidR="00D35664" w:rsidRPr="001C0BC9" w:rsidRDefault="00D35664" w:rsidP="00D35664">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700876">
        <w:rPr>
          <w:rFonts w:ascii="Times New Roman" w:hAnsi="Times New Roman"/>
          <w:sz w:val="28"/>
          <w:szCs w:val="28"/>
          <w:lang w:val="kk-KZ"/>
        </w:rPr>
        <w:lastRenderedPageBreak/>
        <w:t>түрде не «Е-gov» электронды Үкімет порталы арқылы құжаттарды қабылдау мерзімінде тапсырады тапсырады.</w:t>
      </w:r>
      <w:bookmarkStart w:id="1" w:name="z85"/>
      <w:bookmarkEnd w:id="1"/>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lastRenderedPageBreak/>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F630D" w:rsidRDefault="0043134B" w:rsidP="0043134B">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lastRenderedPageBreak/>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67" w:rsidRDefault="00EB6067" w:rsidP="0097579D">
      <w:pPr>
        <w:spacing w:after="0" w:line="240" w:lineRule="auto"/>
      </w:pPr>
      <w:r>
        <w:separator/>
      </w:r>
    </w:p>
  </w:endnote>
  <w:endnote w:type="continuationSeparator" w:id="0">
    <w:p w:rsidR="00EB6067" w:rsidRDefault="00EB606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D35664">
          <w:rPr>
            <w:noProof/>
          </w:rPr>
          <w:t>9</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67" w:rsidRDefault="00EB6067" w:rsidP="0097579D">
      <w:pPr>
        <w:spacing w:after="0" w:line="240" w:lineRule="auto"/>
      </w:pPr>
      <w:r>
        <w:separator/>
      </w:r>
    </w:p>
  </w:footnote>
  <w:footnote w:type="continuationSeparator" w:id="0">
    <w:p w:rsidR="00EB6067" w:rsidRDefault="00EB6067"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3134B"/>
    <w:rsid w:val="004426EF"/>
    <w:rsid w:val="0046142D"/>
    <w:rsid w:val="00463B44"/>
    <w:rsid w:val="00473E5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926"/>
    <w:rsid w:val="008845AE"/>
    <w:rsid w:val="0088782E"/>
    <w:rsid w:val="0089691A"/>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CE9D-E5F6-4723-B8CB-8E6C4A59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194</cp:revision>
  <dcterms:created xsi:type="dcterms:W3CDTF">2017-12-06T07:55:00Z</dcterms:created>
  <dcterms:modified xsi:type="dcterms:W3CDTF">2020-07-16T14:22:00Z</dcterms:modified>
</cp:coreProperties>
</file>